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6706E" w:rsidRPr="00DF649B" w:rsidP="00DF649B">
      <w:pPr>
        <w:tabs>
          <w:tab w:val="left" w:pos="7200"/>
        </w:tabs>
        <w:spacing w:line="480" w:lineRule="auto"/>
        <w:jc w:val="center"/>
        <w:rPr>
          <w:rFonts w:ascii="Times New Roman" w:hAnsi="Times New Roman" w:cs="Times New Roman"/>
          <w:sz w:val="24"/>
          <w:szCs w:val="24"/>
        </w:rPr>
      </w:pPr>
    </w:p>
    <w:p w:rsidR="00E6706E" w:rsidRPr="00DF649B" w:rsidP="00DF649B">
      <w:pPr>
        <w:spacing w:line="480" w:lineRule="auto"/>
        <w:jc w:val="center"/>
        <w:rPr>
          <w:rFonts w:ascii="Times New Roman" w:hAnsi="Times New Roman" w:cs="Times New Roman"/>
          <w:sz w:val="24"/>
          <w:szCs w:val="24"/>
        </w:rPr>
      </w:pPr>
    </w:p>
    <w:p w:rsidR="00E6706E" w:rsidRPr="00DF649B" w:rsidP="00DF649B">
      <w:pPr>
        <w:spacing w:line="480" w:lineRule="auto"/>
        <w:jc w:val="center"/>
        <w:rPr>
          <w:rFonts w:ascii="Times New Roman" w:hAnsi="Times New Roman" w:cs="Times New Roman"/>
          <w:sz w:val="24"/>
          <w:szCs w:val="24"/>
        </w:rPr>
      </w:pPr>
    </w:p>
    <w:p w:rsidR="00E6706E" w:rsidRPr="00DF649B" w:rsidP="00DF649B">
      <w:pPr>
        <w:spacing w:line="480" w:lineRule="auto"/>
        <w:jc w:val="center"/>
        <w:rPr>
          <w:rFonts w:ascii="Times New Roman" w:hAnsi="Times New Roman" w:cs="Times New Roman"/>
          <w:sz w:val="24"/>
          <w:szCs w:val="24"/>
        </w:rPr>
      </w:pPr>
    </w:p>
    <w:p w:rsidR="00E6706E" w:rsidRPr="00DF649B" w:rsidP="00DF649B">
      <w:pPr>
        <w:spacing w:line="480" w:lineRule="auto"/>
        <w:jc w:val="center"/>
        <w:rPr>
          <w:rFonts w:ascii="Times New Roman" w:hAnsi="Times New Roman" w:cs="Times New Roman"/>
          <w:sz w:val="24"/>
          <w:szCs w:val="24"/>
        </w:rPr>
      </w:pPr>
      <w:r w:rsidRPr="00DF649B">
        <w:rPr>
          <w:rFonts w:ascii="Times New Roman" w:hAnsi="Times New Roman" w:cs="Times New Roman"/>
          <w:sz w:val="24"/>
          <w:szCs w:val="24"/>
        </w:rPr>
        <w:t xml:space="preserve">Oil </w:t>
      </w:r>
      <w:r w:rsidRPr="00DF649B" w:rsidR="005164A0">
        <w:rPr>
          <w:rFonts w:ascii="Times New Roman" w:hAnsi="Times New Roman" w:cs="Times New Roman"/>
          <w:sz w:val="24"/>
          <w:szCs w:val="24"/>
        </w:rPr>
        <w:t>Price Changes and the Impact on the Economy</w:t>
      </w:r>
    </w:p>
    <w:p w:rsidR="00E6706E" w:rsidRPr="00DF649B" w:rsidP="00DF649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6706E" w:rsidP="00DF649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5164A0" w:rsidP="00DF649B">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164A0" w:rsidRPr="00DF649B" w:rsidP="00DF649B">
      <w:pPr>
        <w:tabs>
          <w:tab w:val="center" w:pos="4680"/>
          <w:tab w:val="left" w:pos="6645"/>
          <w:tab w:val="left" w:pos="7695"/>
        </w:tabs>
        <w:spacing w:line="480" w:lineRule="auto"/>
        <w:jc w:val="center"/>
        <w:rPr>
          <w:rFonts w:ascii="Times New Roman" w:hAnsi="Times New Roman" w:cs="Times New Roman"/>
          <w:sz w:val="24"/>
          <w:szCs w:val="24"/>
        </w:rPr>
      </w:pPr>
    </w:p>
    <w:p w:rsidR="00E6706E" w:rsidRPr="00DF649B" w:rsidP="00DF649B">
      <w:pPr>
        <w:spacing w:line="480" w:lineRule="auto"/>
        <w:jc w:val="center"/>
        <w:rPr>
          <w:rFonts w:ascii="Times New Roman" w:hAnsi="Times New Roman" w:cs="Times New Roman"/>
          <w:sz w:val="24"/>
          <w:szCs w:val="24"/>
        </w:rPr>
      </w:pPr>
    </w:p>
    <w:p w:rsidR="00E6706E" w:rsidRPr="00DF649B" w:rsidP="00DF649B">
      <w:pPr>
        <w:spacing w:line="480" w:lineRule="auto"/>
        <w:jc w:val="center"/>
        <w:rPr>
          <w:rFonts w:ascii="Times New Roman" w:hAnsi="Times New Roman" w:cs="Times New Roman"/>
          <w:sz w:val="24"/>
          <w:szCs w:val="24"/>
        </w:rPr>
      </w:pPr>
    </w:p>
    <w:p w:rsidR="00E6706E" w:rsidRPr="00DF649B" w:rsidP="00DF649B">
      <w:pPr>
        <w:spacing w:line="480" w:lineRule="auto"/>
        <w:jc w:val="center"/>
        <w:rPr>
          <w:rFonts w:ascii="Times New Roman" w:hAnsi="Times New Roman" w:cs="Times New Roman"/>
          <w:sz w:val="24"/>
          <w:szCs w:val="24"/>
        </w:rPr>
      </w:pPr>
    </w:p>
    <w:p w:rsidR="00E6706E" w:rsidRPr="00DF649B" w:rsidP="00DF649B">
      <w:pPr>
        <w:spacing w:line="480" w:lineRule="auto"/>
        <w:jc w:val="center"/>
        <w:rPr>
          <w:rFonts w:ascii="Times New Roman" w:hAnsi="Times New Roman" w:cs="Times New Roman"/>
          <w:sz w:val="24"/>
          <w:szCs w:val="24"/>
        </w:rPr>
      </w:pPr>
    </w:p>
    <w:p w:rsidR="00E6706E" w:rsidRPr="00DF649B" w:rsidP="00DF649B">
      <w:pPr>
        <w:spacing w:line="480" w:lineRule="auto"/>
        <w:rPr>
          <w:rFonts w:ascii="Times New Roman" w:hAnsi="Times New Roman" w:cs="Times New Roman"/>
          <w:sz w:val="24"/>
          <w:szCs w:val="24"/>
        </w:rPr>
      </w:pPr>
    </w:p>
    <w:p w:rsidR="005164A0">
      <w:pPr>
        <w:rPr>
          <w:rFonts w:ascii="Times New Roman" w:hAnsi="Times New Roman" w:cs="Times New Roman"/>
          <w:sz w:val="24"/>
          <w:szCs w:val="24"/>
        </w:rPr>
      </w:pPr>
      <w:r>
        <w:rPr>
          <w:rFonts w:ascii="Times New Roman" w:hAnsi="Times New Roman" w:cs="Times New Roman"/>
          <w:sz w:val="24"/>
          <w:szCs w:val="24"/>
        </w:rPr>
        <w:br w:type="page"/>
      </w:r>
    </w:p>
    <w:p w:rsidR="005164A0" w:rsidP="005164A0">
      <w:pPr>
        <w:spacing w:line="480" w:lineRule="auto"/>
        <w:jc w:val="center"/>
        <w:rPr>
          <w:rFonts w:ascii="Times New Roman" w:hAnsi="Times New Roman" w:cs="Times New Roman"/>
          <w:sz w:val="24"/>
          <w:szCs w:val="24"/>
        </w:rPr>
      </w:pPr>
      <w:r w:rsidRPr="00DF649B">
        <w:rPr>
          <w:rFonts w:ascii="Times New Roman" w:hAnsi="Times New Roman" w:cs="Times New Roman"/>
          <w:sz w:val="24"/>
          <w:szCs w:val="24"/>
        </w:rPr>
        <w:t>Oil Price Changes and the Impact on the Economy</w:t>
      </w:r>
    </w:p>
    <w:p w:rsidR="00023268" w:rsidRPr="00DF649B" w:rsidP="00DF649B">
      <w:pPr>
        <w:spacing w:line="480" w:lineRule="auto"/>
        <w:ind w:firstLine="720"/>
        <w:rPr>
          <w:rFonts w:ascii="Times New Roman" w:hAnsi="Times New Roman" w:cs="Times New Roman"/>
          <w:sz w:val="24"/>
          <w:szCs w:val="24"/>
        </w:rPr>
      </w:pPr>
      <w:r w:rsidRPr="00DF649B">
        <w:rPr>
          <w:rFonts w:ascii="Times New Roman" w:hAnsi="Times New Roman" w:cs="Times New Roman"/>
          <w:sz w:val="24"/>
          <w:szCs w:val="24"/>
        </w:rPr>
        <w:t>Oil is a commodity, and it, therefore, records price fluctuations than other stable inve</w:t>
      </w:r>
      <w:r w:rsidR="006B3268">
        <w:rPr>
          <w:rFonts w:ascii="Times New Roman" w:hAnsi="Times New Roman" w:cs="Times New Roman"/>
          <w:sz w:val="24"/>
          <w:szCs w:val="24"/>
        </w:rPr>
        <w:t>stments. It is important to highlight</w:t>
      </w:r>
      <w:r w:rsidRPr="00DF649B">
        <w:rPr>
          <w:rFonts w:ascii="Times New Roman" w:hAnsi="Times New Roman" w:cs="Times New Roman"/>
          <w:sz w:val="24"/>
          <w:szCs w:val="24"/>
        </w:rPr>
        <w:t xml:space="preserve"> that Organization of Petroleum Exporting Countries (OPEC) greatly influences oil prices by either increasing or reducing the production of oil, gas, and other related products. There are different factors that are attributed to oil price changes. These include supply and demand; ideally, when the supply of oil exceeds demand, then prices reduce, and when the demand is high, the prices increase. Additionally, other factors which may also result in changes in oil prices include natural disasters and production as well as storage costs. The literature will examine </w:t>
      </w:r>
      <w:r w:rsidR="006B3268">
        <w:rPr>
          <w:rFonts w:ascii="Times New Roman" w:hAnsi="Times New Roman" w:cs="Times New Roman"/>
          <w:sz w:val="24"/>
          <w:szCs w:val="24"/>
        </w:rPr>
        <w:t xml:space="preserve">changes in </w:t>
      </w:r>
      <w:r w:rsidRPr="00DF649B">
        <w:rPr>
          <w:rFonts w:ascii="Times New Roman" w:hAnsi="Times New Roman" w:cs="Times New Roman"/>
          <w:sz w:val="24"/>
          <w:szCs w:val="24"/>
        </w:rPr>
        <w:t>oi</w:t>
      </w:r>
      <w:r w:rsidR="006B3268">
        <w:rPr>
          <w:rFonts w:ascii="Times New Roman" w:hAnsi="Times New Roman" w:cs="Times New Roman"/>
          <w:sz w:val="24"/>
          <w:szCs w:val="24"/>
        </w:rPr>
        <w:t xml:space="preserve">l price changes and they affect </w:t>
      </w:r>
      <w:r w:rsidRPr="00DF649B">
        <w:rPr>
          <w:rFonts w:ascii="Times New Roman" w:hAnsi="Times New Roman" w:cs="Times New Roman"/>
          <w:sz w:val="24"/>
          <w:szCs w:val="24"/>
        </w:rPr>
        <w:t xml:space="preserve">the economy. </w:t>
      </w:r>
    </w:p>
    <w:p w:rsidR="0016531B" w:rsidRPr="00DF649B" w:rsidP="00DF649B">
      <w:pPr>
        <w:spacing w:line="480" w:lineRule="auto"/>
        <w:ind w:firstLine="720"/>
        <w:rPr>
          <w:rFonts w:ascii="Times New Roman" w:hAnsi="Times New Roman" w:cs="Times New Roman"/>
          <w:sz w:val="24"/>
          <w:szCs w:val="24"/>
        </w:rPr>
      </w:pPr>
      <w:r w:rsidRPr="00DF649B">
        <w:rPr>
          <w:rFonts w:ascii="Times New Roman" w:hAnsi="Times New Roman" w:cs="Times New Roman"/>
          <w:sz w:val="24"/>
          <w:szCs w:val="24"/>
        </w:rPr>
        <w:t xml:space="preserve">Oil is a vital factor in the manufacturing and transportation of other products. Therefore, changes in oil prices tend to affect the prices of other products </w:t>
      </w:r>
      <w:r w:rsidR="005164A0">
        <w:rPr>
          <w:rFonts w:ascii="Times New Roman" w:hAnsi="Times New Roman" w:cs="Times New Roman"/>
          <w:sz w:val="24"/>
          <w:szCs w:val="24"/>
        </w:rPr>
        <w:t>in an economy (</w:t>
      </w:r>
      <w:r w:rsidR="005164A0">
        <w:rPr>
          <w:rFonts w:ascii="Times New Roman" w:hAnsi="Times New Roman" w:cs="Times New Roman"/>
          <w:sz w:val="24"/>
          <w:szCs w:val="24"/>
        </w:rPr>
        <w:t>Trang</w:t>
      </w:r>
      <w:r w:rsidR="005164A0">
        <w:rPr>
          <w:rFonts w:ascii="Times New Roman" w:hAnsi="Times New Roman" w:cs="Times New Roman"/>
          <w:sz w:val="24"/>
          <w:szCs w:val="24"/>
        </w:rPr>
        <w:t xml:space="preserve"> et al.</w:t>
      </w:r>
      <w:r w:rsidRPr="00DF649B">
        <w:rPr>
          <w:rFonts w:ascii="Times New Roman" w:hAnsi="Times New Roman" w:cs="Times New Roman"/>
          <w:sz w:val="24"/>
          <w:szCs w:val="24"/>
        </w:rPr>
        <w:t>, 2017). The fluctuation of oil prices affects production since manufacturers and producers experiences uncertainties which occur from reallocation and distribution of resources. The following table indicates the price of oil in U.S dollars per barrel and real GDP percentage change as indicated on St. Louis Federal Reserve (FRED)</w:t>
      </w:r>
    </w:p>
    <w:tbl>
      <w:tblPr>
        <w:tblStyle w:val="TableGrid"/>
        <w:tblW w:w="0" w:type="auto"/>
        <w:tblLook w:val="04A0"/>
      </w:tblPr>
      <w:tblGrid>
        <w:gridCol w:w="3116"/>
        <w:gridCol w:w="2639"/>
        <w:gridCol w:w="3595"/>
      </w:tblGrid>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YEAR</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Price of oil</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R</w:t>
            </w:r>
            <w:r w:rsidRPr="00DF649B" w:rsidR="00AD7F36">
              <w:rPr>
                <w:rFonts w:ascii="Times New Roman" w:hAnsi="Times New Roman" w:cs="Times New Roman"/>
                <w:sz w:val="24"/>
                <w:szCs w:val="24"/>
              </w:rPr>
              <w:t xml:space="preserve">eal GDP percentage change </w:t>
            </w:r>
            <w:r w:rsidRPr="00DF649B">
              <w:rPr>
                <w:rFonts w:ascii="Times New Roman" w:hAnsi="Times New Roman" w:cs="Times New Roman"/>
                <w:sz w:val="24"/>
                <w:szCs w:val="24"/>
              </w:rPr>
              <w:t>(%)</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1980</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39.50</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-8.0</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1981</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36.67</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-2.9</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1982</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31.99</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1.8</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1983</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30.68</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9.4</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1984</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30.37</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7.4</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1985</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27.88</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3.6</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1986</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13.94</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1.8</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1987</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13.39</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4.4</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1988</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17.25</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5.4</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1989</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20.59</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3.1</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1990</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17.79</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1.5</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1991</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20.74</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3.2</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1992</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21.19</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4.4</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1993</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19.77</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2.3</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1994</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17.78</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5.5</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1995</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18.37</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1.2</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1996</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21.73</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6.8</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1997</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19.90</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6.8</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1998</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14.64</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3.8</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1999</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17.56</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3.1</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2000</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28.81</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7.5</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2001</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27.85</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2.4</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2002</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26.26</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2.4</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2003</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29.08</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3.5</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2004</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38.35</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3.1</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2005</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53.05</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1.9</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2006</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70.47</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0.9</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2007</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64.98</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2.8</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2008</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124.06</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2.1</w:t>
            </w:r>
          </w:p>
        </w:tc>
      </w:tr>
      <w:tr w:rsidTr="00B811AA">
        <w:tblPrEx>
          <w:tblW w:w="0" w:type="auto"/>
          <w:tblLook w:val="04A0"/>
        </w:tblPrEx>
        <w:tc>
          <w:tcPr>
            <w:tcW w:w="3116" w:type="dxa"/>
          </w:tcPr>
          <w:p w:rsidR="00EE7599"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w:t>
            </w:r>
            <w:r w:rsidRPr="00DF649B">
              <w:rPr>
                <w:rFonts w:ascii="Times New Roman" w:hAnsi="Times New Roman" w:cs="Times New Roman"/>
                <w:sz w:val="24"/>
                <w:szCs w:val="24"/>
              </w:rPr>
              <w:t>09</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59.58</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-0.6</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2010</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77.86</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3.7</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2011</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102.51</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2.9</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2012</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93.38</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1.7</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2013</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94.17</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0.5</w:t>
            </w:r>
          </w:p>
        </w:tc>
      </w:tr>
      <w:tr w:rsidTr="00B811AA">
        <w:tblPrEx>
          <w:tblW w:w="0" w:type="auto"/>
          <w:tblLook w:val="04A0"/>
        </w:tblPrEx>
        <w:tc>
          <w:tcPr>
            <w:tcW w:w="3116"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2014</w:t>
            </w:r>
          </w:p>
        </w:tc>
        <w:tc>
          <w:tcPr>
            <w:tcW w:w="2639"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103.14</w:t>
            </w:r>
          </w:p>
        </w:tc>
        <w:tc>
          <w:tcPr>
            <w:tcW w:w="3595" w:type="dxa"/>
          </w:tcPr>
          <w:p w:rsidR="009230EB"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5.1</w:t>
            </w:r>
          </w:p>
        </w:tc>
      </w:tr>
      <w:tr w:rsidTr="00B811AA">
        <w:tblPrEx>
          <w:tblW w:w="0" w:type="auto"/>
          <w:tblLook w:val="04A0"/>
        </w:tblPrEx>
        <w:tc>
          <w:tcPr>
            <w:tcW w:w="3116" w:type="dxa"/>
          </w:tcPr>
          <w:p w:rsidR="00EE7599"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2015</w:t>
            </w:r>
          </w:p>
        </w:tc>
        <w:tc>
          <w:tcPr>
            <w:tcW w:w="2639" w:type="dxa"/>
          </w:tcPr>
          <w:p w:rsidR="00EE7599"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57.75</w:t>
            </w:r>
          </w:p>
        </w:tc>
        <w:tc>
          <w:tcPr>
            <w:tcW w:w="3595" w:type="dxa"/>
          </w:tcPr>
          <w:p w:rsidR="00EE7599"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3.3</w:t>
            </w:r>
          </w:p>
        </w:tc>
      </w:tr>
      <w:tr w:rsidTr="00B811AA">
        <w:tblPrEx>
          <w:tblW w:w="0" w:type="auto"/>
          <w:tblLook w:val="04A0"/>
        </w:tblPrEx>
        <w:tc>
          <w:tcPr>
            <w:tcW w:w="3116" w:type="dxa"/>
          </w:tcPr>
          <w:p w:rsidR="00EE7599"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2016</w:t>
            </w:r>
          </w:p>
        </w:tc>
        <w:tc>
          <w:tcPr>
            <w:tcW w:w="2639" w:type="dxa"/>
          </w:tcPr>
          <w:p w:rsidR="00EE7599"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45.51</w:t>
            </w:r>
          </w:p>
        </w:tc>
        <w:tc>
          <w:tcPr>
            <w:tcW w:w="3595" w:type="dxa"/>
          </w:tcPr>
          <w:p w:rsidR="00EE7599"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2.3</w:t>
            </w:r>
          </w:p>
        </w:tc>
      </w:tr>
    </w:tbl>
    <w:p w:rsidR="00E50115"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 xml:space="preserve"> </w:t>
      </w:r>
    </w:p>
    <w:p w:rsidR="00136DC9"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 xml:space="preserve">The </w:t>
      </w:r>
      <w:r w:rsidRPr="00DF649B" w:rsidR="00C00E37">
        <w:rPr>
          <w:rFonts w:ascii="Times New Roman" w:hAnsi="Times New Roman" w:cs="Times New Roman"/>
          <w:sz w:val="24"/>
          <w:szCs w:val="24"/>
        </w:rPr>
        <w:t>follo</w:t>
      </w:r>
      <w:r w:rsidRPr="00DF649B" w:rsidR="00280C71">
        <w:rPr>
          <w:rFonts w:ascii="Times New Roman" w:hAnsi="Times New Roman" w:cs="Times New Roman"/>
          <w:sz w:val="24"/>
          <w:szCs w:val="24"/>
        </w:rPr>
        <w:t>wing graph below shows the price of oil per barrel</w:t>
      </w:r>
    </w:p>
    <w:p w:rsidR="004B7A46" w:rsidRPr="00DF649B" w:rsidP="00DF649B">
      <w:pPr>
        <w:spacing w:line="480" w:lineRule="auto"/>
        <w:jc w:val="center"/>
        <w:rPr>
          <w:rFonts w:ascii="Times New Roman" w:hAnsi="Times New Roman" w:cs="Times New Roman"/>
          <w:sz w:val="24"/>
          <w:szCs w:val="24"/>
        </w:rPr>
      </w:pPr>
      <w:r w:rsidRPr="00DF649B">
        <w:rPr>
          <w:rFonts w:ascii="Times New Roman" w:hAnsi="Times New Roman" w:cs="Times New Roman"/>
          <w:noProof/>
          <w:sz w:val="24"/>
          <w:szCs w:val="24"/>
        </w:rPr>
        <w:drawing>
          <wp:inline distT="0" distB="0" distL="0" distR="0">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C00E37"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The graph below shows</w:t>
      </w:r>
      <w:r w:rsidRPr="00DF649B" w:rsidR="007A33D1">
        <w:rPr>
          <w:rFonts w:ascii="Times New Roman" w:hAnsi="Times New Roman" w:cs="Times New Roman"/>
          <w:sz w:val="24"/>
          <w:szCs w:val="24"/>
        </w:rPr>
        <w:t xml:space="preserve"> </w:t>
      </w:r>
      <w:r w:rsidRPr="00DF649B" w:rsidR="00137B9E">
        <w:rPr>
          <w:rFonts w:ascii="Times New Roman" w:hAnsi="Times New Roman" w:cs="Times New Roman"/>
          <w:sz w:val="24"/>
          <w:szCs w:val="24"/>
        </w:rPr>
        <w:t>percent change of real GDP</w:t>
      </w:r>
      <w:r w:rsidRPr="00DF649B">
        <w:rPr>
          <w:rFonts w:ascii="Times New Roman" w:hAnsi="Times New Roman" w:cs="Times New Roman"/>
          <w:sz w:val="24"/>
          <w:szCs w:val="24"/>
        </w:rPr>
        <w:t xml:space="preserve"> </w:t>
      </w:r>
    </w:p>
    <w:p w:rsidR="004B2F98" w:rsidRPr="00DF649B" w:rsidP="00DF649B">
      <w:pPr>
        <w:spacing w:line="480" w:lineRule="auto"/>
        <w:jc w:val="center"/>
        <w:rPr>
          <w:rFonts w:ascii="Times New Roman" w:hAnsi="Times New Roman" w:cs="Times New Roman"/>
          <w:sz w:val="24"/>
          <w:szCs w:val="24"/>
        </w:rPr>
      </w:pPr>
      <w:r w:rsidRPr="00DF649B">
        <w:rPr>
          <w:rFonts w:ascii="Times New Roman" w:hAnsi="Times New Roman" w:cs="Times New Roman"/>
          <w:noProof/>
          <w:sz w:val="24"/>
          <w:szCs w:val="24"/>
        </w:rPr>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37B9E" w:rsidRPr="00DF649B" w:rsidP="00DF649B">
      <w:pPr>
        <w:spacing w:line="480" w:lineRule="auto"/>
        <w:rPr>
          <w:rFonts w:ascii="Times New Roman" w:hAnsi="Times New Roman" w:cs="Times New Roman"/>
          <w:sz w:val="24"/>
          <w:szCs w:val="24"/>
        </w:rPr>
      </w:pPr>
      <w:r w:rsidRPr="00DF649B">
        <w:rPr>
          <w:rFonts w:ascii="Times New Roman" w:hAnsi="Times New Roman" w:cs="Times New Roman"/>
          <w:sz w:val="24"/>
          <w:szCs w:val="24"/>
        </w:rPr>
        <w:t xml:space="preserve">This graph shows the </w:t>
      </w:r>
      <w:r w:rsidRPr="00DF649B" w:rsidR="00DC537A">
        <w:rPr>
          <w:rFonts w:ascii="Times New Roman" w:hAnsi="Times New Roman" w:cs="Times New Roman"/>
          <w:sz w:val="24"/>
          <w:szCs w:val="24"/>
        </w:rPr>
        <w:t xml:space="preserve">trend in oil prices and </w:t>
      </w:r>
      <w:r w:rsidRPr="00DF649B" w:rsidR="006E3DCE">
        <w:rPr>
          <w:rFonts w:ascii="Times New Roman" w:hAnsi="Times New Roman" w:cs="Times New Roman"/>
          <w:sz w:val="24"/>
          <w:szCs w:val="24"/>
        </w:rPr>
        <w:t>percentage change in Real GDP</w:t>
      </w:r>
    </w:p>
    <w:p w:rsidR="008C4178" w:rsidRPr="00DF649B" w:rsidP="00DF649B">
      <w:pPr>
        <w:spacing w:line="480" w:lineRule="auto"/>
        <w:jc w:val="center"/>
        <w:rPr>
          <w:rFonts w:ascii="Times New Roman" w:hAnsi="Times New Roman" w:cs="Times New Roman"/>
          <w:sz w:val="24"/>
          <w:szCs w:val="24"/>
        </w:rPr>
      </w:pPr>
      <w:bookmarkStart w:id="0" w:name="_GoBack"/>
      <w:r w:rsidRPr="00DF649B">
        <w:rPr>
          <w:rFonts w:ascii="Times New Roman" w:hAnsi="Times New Roman" w:cs="Times New Roman"/>
          <w:noProof/>
          <w:sz w:val="24"/>
          <w:szCs w:val="24"/>
        </w:rPr>
        <w:drawing>
          <wp:inline distT="0" distB="0" distL="0" distR="0">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End w:id="0"/>
    </w:p>
    <w:p w:rsidR="00643366" w:rsidRPr="00DF649B" w:rsidP="00DF649B">
      <w:pPr>
        <w:spacing w:line="480" w:lineRule="auto"/>
        <w:ind w:firstLine="720"/>
        <w:rPr>
          <w:rFonts w:ascii="Times New Roman" w:hAnsi="Times New Roman" w:cs="Times New Roman"/>
          <w:sz w:val="24"/>
          <w:szCs w:val="24"/>
        </w:rPr>
      </w:pPr>
      <w:r w:rsidRPr="00DF649B">
        <w:rPr>
          <w:rFonts w:ascii="Times New Roman" w:hAnsi="Times New Roman" w:cs="Times New Roman"/>
          <w:sz w:val="24"/>
          <w:szCs w:val="24"/>
        </w:rPr>
        <w:t xml:space="preserve">From these graphs, it is clear that the prices of oil have fluctuated over the years. The price of oil was highest in 2008 at $124.06 and lowest in 1986 when the price was at 13.94. On the other side, the percentage change in real GDP was highest in 1983 when it was at 9.4 and lowest when it was recorded at -8.0. Although it is not regular, it can be observed that when the </w:t>
      </w:r>
      <w:r w:rsidRPr="00DF649B">
        <w:rPr>
          <w:rFonts w:ascii="Times New Roman" w:hAnsi="Times New Roman" w:cs="Times New Roman"/>
          <w:sz w:val="24"/>
          <w:szCs w:val="24"/>
        </w:rPr>
        <w:t xml:space="preserve">prices are high like in 2008, percentage change in real GDP is low and when oil prices were low like in 1983, the percentage change in GDP was high. </w:t>
      </w:r>
    </w:p>
    <w:p w:rsidR="00643366" w:rsidRPr="00DF649B" w:rsidP="00DF649B">
      <w:pPr>
        <w:spacing w:line="480" w:lineRule="auto"/>
        <w:ind w:firstLine="720"/>
        <w:rPr>
          <w:rFonts w:ascii="Times New Roman" w:hAnsi="Times New Roman" w:cs="Times New Roman"/>
          <w:sz w:val="24"/>
          <w:szCs w:val="24"/>
        </w:rPr>
      </w:pPr>
      <w:r w:rsidRPr="00DF649B">
        <w:rPr>
          <w:rFonts w:ascii="Times New Roman" w:hAnsi="Times New Roman" w:cs="Times New Roman"/>
          <w:sz w:val="24"/>
          <w:szCs w:val="24"/>
        </w:rPr>
        <w:t>There are several factors that have resulted in the reduction of oil prices in recent years. These include the imbalance between production and consumption of oil. When the production surpasses the rate of consumption, then there is excess, which may result in price decrease (</w:t>
      </w:r>
      <w:r w:rsidR="005164A0">
        <w:rPr>
          <w:rFonts w:ascii="Times New Roman" w:hAnsi="Times New Roman" w:cs="Times New Roman"/>
          <w:sz w:val="24"/>
          <w:szCs w:val="24"/>
        </w:rPr>
        <w:t>Ellwanger</w:t>
      </w:r>
      <w:r w:rsidR="005164A0">
        <w:rPr>
          <w:rFonts w:ascii="Times New Roman" w:hAnsi="Times New Roman" w:cs="Times New Roman"/>
          <w:sz w:val="24"/>
          <w:szCs w:val="24"/>
        </w:rPr>
        <w:t xml:space="preserve"> et al.</w:t>
      </w:r>
      <w:r w:rsidRPr="00DF649B">
        <w:rPr>
          <w:rFonts w:ascii="Times New Roman" w:hAnsi="Times New Roman" w:cs="Times New Roman"/>
          <w:sz w:val="24"/>
          <w:szCs w:val="24"/>
        </w:rPr>
        <w:t xml:space="preserve">, 2017). Additionally, high production and high consumption may also drive the prices down. On the other side, there are supply factors that have reduced oil prices. For example, the development of new technology has helped in increasing production as well as the supply of oil. When the supply </w:t>
      </w:r>
      <w:r w:rsidR="005164A0">
        <w:rPr>
          <w:rFonts w:ascii="Times New Roman" w:hAnsi="Times New Roman" w:cs="Times New Roman"/>
          <w:sz w:val="24"/>
          <w:szCs w:val="24"/>
        </w:rPr>
        <w:t>is high, the prices of oil tend</w:t>
      </w:r>
      <w:r w:rsidRPr="00DF649B">
        <w:rPr>
          <w:rFonts w:ascii="Times New Roman" w:hAnsi="Times New Roman" w:cs="Times New Roman"/>
          <w:sz w:val="24"/>
          <w:szCs w:val="24"/>
        </w:rPr>
        <w:t xml:space="preserve"> to go down. Technology has significantly helped in accessing the deep offshores that were inaccessible in the past, thus increasing pro</w:t>
      </w:r>
      <w:r w:rsidR="005164A0">
        <w:rPr>
          <w:rFonts w:ascii="Times New Roman" w:hAnsi="Times New Roman" w:cs="Times New Roman"/>
          <w:sz w:val="24"/>
          <w:szCs w:val="24"/>
        </w:rPr>
        <w:t>duction (</w:t>
      </w:r>
      <w:r w:rsidR="005164A0">
        <w:rPr>
          <w:rFonts w:ascii="Times New Roman" w:hAnsi="Times New Roman" w:cs="Times New Roman"/>
          <w:sz w:val="24"/>
          <w:szCs w:val="24"/>
        </w:rPr>
        <w:t>Gyagri</w:t>
      </w:r>
      <w:r w:rsidR="005164A0">
        <w:rPr>
          <w:rFonts w:ascii="Times New Roman" w:hAnsi="Times New Roman" w:cs="Times New Roman"/>
          <w:sz w:val="24"/>
          <w:szCs w:val="24"/>
        </w:rPr>
        <w:t xml:space="preserve"> et al.</w:t>
      </w:r>
      <w:r w:rsidRPr="00DF649B">
        <w:rPr>
          <w:rFonts w:ascii="Times New Roman" w:hAnsi="Times New Roman" w:cs="Times New Roman"/>
          <w:sz w:val="24"/>
          <w:szCs w:val="24"/>
        </w:rPr>
        <w:t xml:space="preserve">, 2017). Although the prices of oil are unpredictable, the prices are more likely to rise in the future. This is mainly because the demand is more likely to increase, and the cheap sources are more likely to get exhausted, thus making it difficult </w:t>
      </w:r>
      <w:r w:rsidRPr="00DF649B">
        <w:rPr>
          <w:rFonts w:ascii="Times New Roman" w:hAnsi="Times New Roman" w:cs="Times New Roman"/>
          <w:sz w:val="24"/>
          <w:szCs w:val="24"/>
        </w:rPr>
        <w:t xml:space="preserve">and expensive to produce oil.  </w:t>
      </w:r>
    </w:p>
    <w:p w:rsidR="00053029" w:rsidRPr="00DF649B" w:rsidP="00DF649B">
      <w:pPr>
        <w:spacing w:line="480" w:lineRule="auto"/>
        <w:ind w:firstLine="720"/>
        <w:rPr>
          <w:rFonts w:ascii="Times New Roman" w:hAnsi="Times New Roman" w:cs="Times New Roman"/>
          <w:sz w:val="24"/>
          <w:szCs w:val="24"/>
        </w:rPr>
      </w:pPr>
      <w:r w:rsidRPr="00DF649B">
        <w:rPr>
          <w:rFonts w:ascii="Times New Roman" w:hAnsi="Times New Roman" w:cs="Times New Roman"/>
          <w:sz w:val="24"/>
          <w:szCs w:val="24"/>
        </w:rPr>
        <w:t>In conclusion, having examined oil price changes and the impact on the economy in terms of changes in percentage real GDP, it is clear that the prices of oil are unpredictable and are likely to change from one year to another. Oil is also critical in the development of an economy, and when the prices are high, the economy may be affected negatively. Some of the factors that may cause the prices of oil to go down include excess supply and increased production and consumption.</w:t>
      </w:r>
      <w:r w:rsidRPr="00DF649B" w:rsidR="0058547B">
        <w:rPr>
          <w:rFonts w:ascii="Times New Roman" w:hAnsi="Times New Roman" w:cs="Times New Roman"/>
          <w:sz w:val="24"/>
          <w:szCs w:val="24"/>
        </w:rPr>
        <w:t xml:space="preserve"> </w:t>
      </w:r>
    </w:p>
    <w:p w:rsidR="00DF649B" w:rsidRPr="00DF649B" w:rsidP="00DF649B">
      <w:pPr>
        <w:spacing w:line="480" w:lineRule="auto"/>
        <w:rPr>
          <w:rFonts w:ascii="Times New Roman" w:hAnsi="Times New Roman" w:cs="Times New Roman"/>
          <w:sz w:val="24"/>
          <w:szCs w:val="24"/>
        </w:rPr>
      </w:pPr>
    </w:p>
    <w:sdt>
      <w:sdtPr>
        <w:rPr>
          <w:rFonts w:ascii="Times New Roman" w:hAnsi="Times New Roman" w:eastAsiaTheme="minorHAnsi" w:cs="Times New Roman"/>
          <w:color w:val="auto"/>
          <w:sz w:val="24"/>
          <w:szCs w:val="24"/>
        </w:rPr>
        <w:id w:val="-621153553"/>
        <w:docPartObj>
          <w:docPartGallery w:val="Bibliographies"/>
          <w:docPartUnique/>
        </w:docPartObj>
      </w:sdtPr>
      <w:sdtContent>
        <w:p w:rsidR="00DF649B" w:rsidRPr="00DF649B" w:rsidP="005164A0">
          <w:pPr>
            <w:pStyle w:val="Heading1"/>
            <w:spacing w:line="480" w:lineRule="auto"/>
            <w:jc w:val="center"/>
            <w:rPr>
              <w:rFonts w:ascii="Times New Roman" w:hAnsi="Times New Roman" w:cs="Times New Roman"/>
              <w:color w:val="auto"/>
              <w:sz w:val="24"/>
              <w:szCs w:val="24"/>
            </w:rPr>
          </w:pPr>
          <w:r w:rsidRPr="00DF649B">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DF649B" w:rsidRPr="00DF649B" w:rsidP="00DF649B">
              <w:pPr>
                <w:pStyle w:val="Bibliography"/>
                <w:spacing w:line="480" w:lineRule="auto"/>
                <w:ind w:left="720" w:hanging="720"/>
                <w:rPr>
                  <w:rFonts w:ascii="Times New Roman" w:hAnsi="Times New Roman" w:cs="Times New Roman"/>
                  <w:noProof/>
                  <w:sz w:val="24"/>
                  <w:szCs w:val="24"/>
                </w:rPr>
              </w:pPr>
              <w:r w:rsidRPr="00DF649B">
                <w:rPr>
                  <w:rFonts w:ascii="Times New Roman" w:hAnsi="Times New Roman" w:cs="Times New Roman"/>
                  <w:sz w:val="24"/>
                  <w:szCs w:val="24"/>
                </w:rPr>
                <w:fldChar w:fldCharType="begin"/>
              </w:r>
              <w:r w:rsidRPr="00DF649B">
                <w:rPr>
                  <w:rFonts w:ascii="Times New Roman" w:hAnsi="Times New Roman" w:cs="Times New Roman"/>
                  <w:sz w:val="24"/>
                  <w:szCs w:val="24"/>
                </w:rPr>
                <w:instrText xml:space="preserve"> BIBLIOGRAPHY </w:instrText>
              </w:r>
              <w:r w:rsidRPr="00DF649B">
                <w:rPr>
                  <w:rFonts w:ascii="Times New Roman" w:hAnsi="Times New Roman" w:cs="Times New Roman"/>
                  <w:sz w:val="24"/>
                  <w:szCs w:val="24"/>
                </w:rPr>
                <w:fldChar w:fldCharType="separate"/>
              </w:r>
              <w:r w:rsidRPr="00DF649B">
                <w:rPr>
                  <w:rFonts w:ascii="Times New Roman" w:hAnsi="Times New Roman" w:cs="Times New Roman"/>
                  <w:noProof/>
                  <w:sz w:val="24"/>
                  <w:szCs w:val="24"/>
                </w:rPr>
                <w:t xml:space="preserve">Ellwanger, R., Sawatzky, B. &amp; Zmitrowicz, K. (2017). Factors Behind the 2014 Oil Price Decline. </w:t>
              </w:r>
              <w:r w:rsidRPr="00DF649B">
                <w:rPr>
                  <w:rFonts w:ascii="Times New Roman" w:hAnsi="Times New Roman" w:cs="Times New Roman"/>
                  <w:i/>
                  <w:iCs/>
                  <w:noProof/>
                  <w:sz w:val="24"/>
                  <w:szCs w:val="24"/>
                </w:rPr>
                <w:t>Bank of Canada Review</w:t>
              </w:r>
              <w:r w:rsidRPr="00DF649B">
                <w:rPr>
                  <w:rFonts w:ascii="Times New Roman" w:hAnsi="Times New Roman" w:cs="Times New Roman"/>
                  <w:noProof/>
                  <w:sz w:val="24"/>
                  <w:szCs w:val="24"/>
                </w:rPr>
                <w:t>, 1-13. Retrieved from https://www.bankofcanada.ca/wp-content/uploads/2017/11/boc-review-autumn2017-ellwanger.pdf</w:t>
              </w:r>
            </w:p>
            <w:p w:rsidR="00DF649B" w:rsidRPr="00DF649B" w:rsidP="00DF649B">
              <w:pPr>
                <w:pStyle w:val="Bibliography"/>
                <w:spacing w:line="480" w:lineRule="auto"/>
                <w:ind w:left="720" w:hanging="720"/>
                <w:rPr>
                  <w:rFonts w:ascii="Times New Roman" w:hAnsi="Times New Roman" w:cs="Times New Roman"/>
                  <w:noProof/>
                  <w:sz w:val="24"/>
                  <w:szCs w:val="24"/>
                </w:rPr>
              </w:pPr>
              <w:r w:rsidRPr="00DF649B">
                <w:rPr>
                  <w:rFonts w:ascii="Times New Roman" w:hAnsi="Times New Roman" w:cs="Times New Roman"/>
                  <w:noProof/>
                  <w:sz w:val="24"/>
                  <w:szCs w:val="24"/>
                </w:rPr>
                <w:t xml:space="preserve">Gyagri, M., Marfo, S.A. &amp; Amarfio, E.M. (2017). Determinants of Global Pricing of Crude Oil-A Theoretical Review. </w:t>
              </w:r>
              <w:r w:rsidRPr="00DF649B">
                <w:rPr>
                  <w:rFonts w:ascii="Times New Roman" w:hAnsi="Times New Roman" w:cs="Times New Roman"/>
                  <w:i/>
                  <w:iCs/>
                  <w:noProof/>
                  <w:sz w:val="24"/>
                  <w:szCs w:val="24"/>
                </w:rPr>
                <w:t>International Journal of Petroleum and Petrochemical Engineering, 3</w:t>
              </w:r>
              <w:r w:rsidRPr="00DF649B">
                <w:rPr>
                  <w:rFonts w:ascii="Times New Roman" w:hAnsi="Times New Roman" w:cs="Times New Roman"/>
                  <w:noProof/>
                  <w:sz w:val="24"/>
                  <w:szCs w:val="24"/>
                </w:rPr>
                <w:t>(3), 7-15.</w:t>
              </w:r>
            </w:p>
            <w:p w:rsidR="00DF649B" w:rsidRPr="00DF649B" w:rsidP="00DF649B">
              <w:pPr>
                <w:pStyle w:val="Bibliography"/>
                <w:spacing w:line="480" w:lineRule="auto"/>
                <w:ind w:left="720" w:hanging="720"/>
                <w:rPr>
                  <w:rFonts w:ascii="Times New Roman" w:hAnsi="Times New Roman" w:cs="Times New Roman"/>
                  <w:noProof/>
                  <w:sz w:val="24"/>
                  <w:szCs w:val="24"/>
                </w:rPr>
              </w:pPr>
              <w:r w:rsidRPr="00DF649B">
                <w:rPr>
                  <w:rFonts w:ascii="Times New Roman" w:hAnsi="Times New Roman" w:cs="Times New Roman"/>
                  <w:noProof/>
                  <w:sz w:val="24"/>
                  <w:szCs w:val="24"/>
                </w:rPr>
                <w:t xml:space="preserve">Trang, N.T.N., Tho, T.N. &amp; Hong, D.T.T. (2017). The Impact of Oil Price on the Growth, Inflation, Unemployment and Budget Deficit of Vietnam. </w:t>
              </w:r>
              <w:r w:rsidRPr="00DF649B">
                <w:rPr>
                  <w:rFonts w:ascii="Times New Roman" w:hAnsi="Times New Roman" w:cs="Times New Roman"/>
                  <w:i/>
                  <w:iCs/>
                  <w:noProof/>
                  <w:sz w:val="24"/>
                  <w:szCs w:val="24"/>
                </w:rPr>
                <w:t>International Journal of Energy Economics and Policy, 7</w:t>
              </w:r>
              <w:r w:rsidRPr="00DF649B">
                <w:rPr>
                  <w:rFonts w:ascii="Times New Roman" w:hAnsi="Times New Roman" w:cs="Times New Roman"/>
                  <w:noProof/>
                  <w:sz w:val="24"/>
                  <w:szCs w:val="24"/>
                </w:rPr>
                <w:t>(3), 42-49.</w:t>
              </w:r>
            </w:p>
            <w:p w:rsidR="00DF649B" w:rsidRPr="00DF649B" w:rsidP="00DF649B">
              <w:pPr>
                <w:spacing w:line="480" w:lineRule="auto"/>
                <w:rPr>
                  <w:rFonts w:ascii="Times New Roman" w:hAnsi="Times New Roman" w:cs="Times New Roman"/>
                  <w:sz w:val="24"/>
                  <w:szCs w:val="24"/>
                </w:rPr>
              </w:pPr>
              <w:r w:rsidRPr="00DF649B">
                <w:rPr>
                  <w:rFonts w:ascii="Times New Roman" w:hAnsi="Times New Roman" w:cs="Times New Roman"/>
                  <w:b/>
                  <w:bCs/>
                  <w:noProof/>
                  <w:sz w:val="24"/>
                  <w:szCs w:val="24"/>
                </w:rPr>
                <w:fldChar w:fldCharType="end"/>
              </w:r>
            </w:p>
          </w:sdtContent>
        </w:sdt>
      </w:sdtContent>
    </w:sdt>
    <w:p w:rsidR="00DF649B" w:rsidRPr="00DF649B" w:rsidP="00DF649B">
      <w:pPr>
        <w:spacing w:line="480" w:lineRule="auto"/>
        <w:rPr>
          <w:rFonts w:ascii="Times New Roman" w:hAnsi="Times New Roman" w:cs="Times New Roman"/>
          <w:sz w:val="24"/>
          <w:szCs w:val="24"/>
        </w:rPr>
      </w:pPr>
    </w:p>
    <w:sectPr w:rsidSect="00DF649B">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49B" w:rsidRPr="00DF649B">
    <w:pPr>
      <w:pStyle w:val="Header"/>
      <w:rPr>
        <w:rFonts w:ascii="Times New Roman" w:hAnsi="Times New Roman" w:cs="Times New Roman"/>
        <w:sz w:val="24"/>
        <w:szCs w:val="24"/>
      </w:rPr>
    </w:pPr>
    <w:r w:rsidRPr="00DF649B">
      <w:rPr>
        <w:rFonts w:ascii="Times New Roman" w:hAnsi="Times New Roman" w:cs="Times New Roman"/>
        <w:sz w:val="24"/>
        <w:szCs w:val="24"/>
      </w:rPr>
      <w:t xml:space="preserve">OIL PRICE CHANGES AND THE IMPACT ON THE ECONOMY </w:t>
    </w:r>
    <w:r w:rsidRPr="00DF649B">
      <w:rPr>
        <w:rFonts w:ascii="Times New Roman" w:hAnsi="Times New Roman" w:cs="Times New Roman"/>
        <w:sz w:val="24"/>
        <w:szCs w:val="24"/>
      </w:rPr>
      <w:tab/>
    </w:r>
    <w:sdt>
      <w:sdtPr>
        <w:rPr>
          <w:rFonts w:ascii="Times New Roman" w:hAnsi="Times New Roman" w:cs="Times New Roman"/>
          <w:sz w:val="24"/>
          <w:szCs w:val="24"/>
        </w:rPr>
        <w:id w:val="384066299"/>
        <w:docPartObj>
          <w:docPartGallery w:val="Page Numbers (Top of Page)"/>
          <w:docPartUnique/>
        </w:docPartObj>
      </w:sdtPr>
      <w:sdtEndPr>
        <w:rPr>
          <w:noProof/>
        </w:rPr>
      </w:sdtEndPr>
      <w:sdtContent>
        <w:r w:rsidRPr="00DF649B">
          <w:rPr>
            <w:rFonts w:ascii="Times New Roman" w:hAnsi="Times New Roman" w:cs="Times New Roman"/>
            <w:sz w:val="24"/>
            <w:szCs w:val="24"/>
          </w:rPr>
          <w:fldChar w:fldCharType="begin"/>
        </w:r>
        <w:r w:rsidRPr="00DF649B">
          <w:rPr>
            <w:rFonts w:ascii="Times New Roman" w:hAnsi="Times New Roman" w:cs="Times New Roman"/>
            <w:sz w:val="24"/>
            <w:szCs w:val="24"/>
          </w:rPr>
          <w:instrText xml:space="preserve"> PAGE   \* MERGEFORMAT </w:instrText>
        </w:r>
        <w:r w:rsidRPr="00DF649B">
          <w:rPr>
            <w:rFonts w:ascii="Times New Roman" w:hAnsi="Times New Roman" w:cs="Times New Roman"/>
            <w:sz w:val="24"/>
            <w:szCs w:val="24"/>
          </w:rPr>
          <w:fldChar w:fldCharType="separate"/>
        </w:r>
        <w:r w:rsidR="006B3268">
          <w:rPr>
            <w:rFonts w:ascii="Times New Roman" w:hAnsi="Times New Roman" w:cs="Times New Roman"/>
            <w:noProof/>
            <w:sz w:val="24"/>
            <w:szCs w:val="24"/>
          </w:rPr>
          <w:t>6</w:t>
        </w:r>
        <w:r w:rsidRPr="00DF649B">
          <w:rPr>
            <w:rFonts w:ascii="Times New Roman" w:hAnsi="Times New Roman" w:cs="Times New Roman"/>
            <w:noProof/>
            <w:sz w:val="24"/>
            <w:szCs w:val="24"/>
          </w:rPr>
          <w:fldChar w:fldCharType="end"/>
        </w:r>
      </w:sdtContent>
    </w:sdt>
  </w:p>
  <w:p w:rsidR="00DF649B" w:rsidRPr="00DF649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49B" w:rsidRPr="00DF649B">
    <w:pPr>
      <w:pStyle w:val="Header"/>
      <w:rPr>
        <w:rFonts w:ascii="Times New Roman" w:hAnsi="Times New Roman" w:cs="Times New Roman"/>
        <w:sz w:val="24"/>
        <w:szCs w:val="24"/>
      </w:rPr>
    </w:pPr>
    <w:r w:rsidRPr="00DF649B">
      <w:rPr>
        <w:rFonts w:ascii="Times New Roman" w:hAnsi="Times New Roman" w:cs="Times New Roman"/>
        <w:sz w:val="24"/>
        <w:szCs w:val="24"/>
      </w:rPr>
      <w:t>Running head: OIL PRICE CHANGES AND THE IMPACT ON THE ECONOMY</w:t>
    </w:r>
    <w:r w:rsidRPr="00DF649B">
      <w:rPr>
        <w:rFonts w:ascii="Times New Roman" w:hAnsi="Times New Roman" w:cs="Times New Roman"/>
        <w:sz w:val="24"/>
        <w:szCs w:val="24"/>
      </w:rPr>
      <w:tab/>
    </w:r>
    <w:sdt>
      <w:sdtPr>
        <w:rPr>
          <w:rFonts w:ascii="Times New Roman" w:hAnsi="Times New Roman" w:cs="Times New Roman"/>
          <w:sz w:val="24"/>
          <w:szCs w:val="24"/>
        </w:rPr>
        <w:id w:val="1572157409"/>
        <w:docPartObj>
          <w:docPartGallery w:val="Page Numbers (Top of Page)"/>
          <w:docPartUnique/>
        </w:docPartObj>
      </w:sdtPr>
      <w:sdtEndPr>
        <w:rPr>
          <w:noProof/>
        </w:rPr>
      </w:sdtEndPr>
      <w:sdtContent>
        <w:r w:rsidRPr="00DF649B">
          <w:rPr>
            <w:rFonts w:ascii="Times New Roman" w:hAnsi="Times New Roman" w:cs="Times New Roman"/>
            <w:sz w:val="24"/>
            <w:szCs w:val="24"/>
          </w:rPr>
          <w:fldChar w:fldCharType="begin"/>
        </w:r>
        <w:r w:rsidRPr="00DF649B">
          <w:rPr>
            <w:rFonts w:ascii="Times New Roman" w:hAnsi="Times New Roman" w:cs="Times New Roman"/>
            <w:sz w:val="24"/>
            <w:szCs w:val="24"/>
          </w:rPr>
          <w:instrText xml:space="preserve"> PAGE   \* MERGEFORMAT </w:instrText>
        </w:r>
        <w:r w:rsidRPr="00DF649B">
          <w:rPr>
            <w:rFonts w:ascii="Times New Roman" w:hAnsi="Times New Roman" w:cs="Times New Roman"/>
            <w:sz w:val="24"/>
            <w:szCs w:val="24"/>
          </w:rPr>
          <w:fldChar w:fldCharType="separate"/>
        </w:r>
        <w:r w:rsidR="005164A0">
          <w:rPr>
            <w:rFonts w:ascii="Times New Roman" w:hAnsi="Times New Roman" w:cs="Times New Roman"/>
            <w:noProof/>
            <w:sz w:val="24"/>
            <w:szCs w:val="24"/>
          </w:rPr>
          <w:t>1</w:t>
        </w:r>
        <w:r w:rsidRPr="00DF649B">
          <w:rPr>
            <w:rFonts w:ascii="Times New Roman" w:hAnsi="Times New Roman" w:cs="Times New Roman"/>
            <w:noProof/>
            <w:sz w:val="24"/>
            <w:szCs w:val="24"/>
          </w:rPr>
          <w:fldChar w:fldCharType="end"/>
        </w:r>
      </w:sdtContent>
    </w:sdt>
  </w:p>
  <w:p w:rsidR="00DF649B" w:rsidRPr="00DF649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014"/>
    <w:rsid w:val="0000263A"/>
    <w:rsid w:val="00002BA3"/>
    <w:rsid w:val="00002DC8"/>
    <w:rsid w:val="00006F03"/>
    <w:rsid w:val="00023268"/>
    <w:rsid w:val="0002615B"/>
    <w:rsid w:val="0003426B"/>
    <w:rsid w:val="00050D35"/>
    <w:rsid w:val="00053029"/>
    <w:rsid w:val="0006026C"/>
    <w:rsid w:val="000800A4"/>
    <w:rsid w:val="00096303"/>
    <w:rsid w:val="000A2E95"/>
    <w:rsid w:val="000A3C1A"/>
    <w:rsid w:val="000C2D6F"/>
    <w:rsid w:val="000D19B0"/>
    <w:rsid w:val="0011060D"/>
    <w:rsid w:val="00111311"/>
    <w:rsid w:val="00120904"/>
    <w:rsid w:val="001225FD"/>
    <w:rsid w:val="001343CF"/>
    <w:rsid w:val="00136DC9"/>
    <w:rsid w:val="00137B9E"/>
    <w:rsid w:val="00156EFF"/>
    <w:rsid w:val="0016531B"/>
    <w:rsid w:val="00172797"/>
    <w:rsid w:val="00181629"/>
    <w:rsid w:val="00195D23"/>
    <w:rsid w:val="00197E00"/>
    <w:rsid w:val="001A1CD8"/>
    <w:rsid w:val="001A2B5F"/>
    <w:rsid w:val="001A73DC"/>
    <w:rsid w:val="001A7D15"/>
    <w:rsid w:val="001B0FF3"/>
    <w:rsid w:val="001C7CCA"/>
    <w:rsid w:val="001D20F6"/>
    <w:rsid w:val="001D4F30"/>
    <w:rsid w:val="001D51AF"/>
    <w:rsid w:val="001E0756"/>
    <w:rsid w:val="001F06DA"/>
    <w:rsid w:val="001F6ECC"/>
    <w:rsid w:val="00236FEE"/>
    <w:rsid w:val="002442C5"/>
    <w:rsid w:val="00250E2D"/>
    <w:rsid w:val="00264E87"/>
    <w:rsid w:val="00264F1F"/>
    <w:rsid w:val="00275CDB"/>
    <w:rsid w:val="00280C71"/>
    <w:rsid w:val="00282895"/>
    <w:rsid w:val="0028668A"/>
    <w:rsid w:val="00296181"/>
    <w:rsid w:val="00297A03"/>
    <w:rsid w:val="002A1D32"/>
    <w:rsid w:val="002B38FA"/>
    <w:rsid w:val="002C501E"/>
    <w:rsid w:val="002C69B7"/>
    <w:rsid w:val="002E1335"/>
    <w:rsid w:val="002E2B08"/>
    <w:rsid w:val="002E56A9"/>
    <w:rsid w:val="00333633"/>
    <w:rsid w:val="00336392"/>
    <w:rsid w:val="00373F54"/>
    <w:rsid w:val="0037609B"/>
    <w:rsid w:val="00380237"/>
    <w:rsid w:val="00386E1E"/>
    <w:rsid w:val="00397BA2"/>
    <w:rsid w:val="003A1E30"/>
    <w:rsid w:val="003B4FDB"/>
    <w:rsid w:val="003E5E66"/>
    <w:rsid w:val="003E76B4"/>
    <w:rsid w:val="00414B10"/>
    <w:rsid w:val="00433AEB"/>
    <w:rsid w:val="00470869"/>
    <w:rsid w:val="0048347B"/>
    <w:rsid w:val="0048628B"/>
    <w:rsid w:val="00495FA9"/>
    <w:rsid w:val="00495FE9"/>
    <w:rsid w:val="004B1BE8"/>
    <w:rsid w:val="004B2F98"/>
    <w:rsid w:val="004B745D"/>
    <w:rsid w:val="004B7A46"/>
    <w:rsid w:val="004F5FDB"/>
    <w:rsid w:val="0050561A"/>
    <w:rsid w:val="005056E7"/>
    <w:rsid w:val="005164A0"/>
    <w:rsid w:val="0053251E"/>
    <w:rsid w:val="00536414"/>
    <w:rsid w:val="00541F38"/>
    <w:rsid w:val="005470C6"/>
    <w:rsid w:val="00550CB2"/>
    <w:rsid w:val="00556595"/>
    <w:rsid w:val="00557836"/>
    <w:rsid w:val="00563171"/>
    <w:rsid w:val="0058137F"/>
    <w:rsid w:val="0058547B"/>
    <w:rsid w:val="005A00AE"/>
    <w:rsid w:val="005A12F8"/>
    <w:rsid w:val="005A3A43"/>
    <w:rsid w:val="005B12EA"/>
    <w:rsid w:val="005D21B4"/>
    <w:rsid w:val="005D53AF"/>
    <w:rsid w:val="005E6D8B"/>
    <w:rsid w:val="00611B50"/>
    <w:rsid w:val="00634FCF"/>
    <w:rsid w:val="00641248"/>
    <w:rsid w:val="00642120"/>
    <w:rsid w:val="00642B02"/>
    <w:rsid w:val="00643366"/>
    <w:rsid w:val="00643E39"/>
    <w:rsid w:val="00653B83"/>
    <w:rsid w:val="00654D19"/>
    <w:rsid w:val="00660B6D"/>
    <w:rsid w:val="006718AA"/>
    <w:rsid w:val="00674B7B"/>
    <w:rsid w:val="00676378"/>
    <w:rsid w:val="00681CB8"/>
    <w:rsid w:val="006B006D"/>
    <w:rsid w:val="006B3268"/>
    <w:rsid w:val="006B52A5"/>
    <w:rsid w:val="006E3DCE"/>
    <w:rsid w:val="0070193E"/>
    <w:rsid w:val="0070771C"/>
    <w:rsid w:val="00716A94"/>
    <w:rsid w:val="007234E2"/>
    <w:rsid w:val="00736151"/>
    <w:rsid w:val="00737C64"/>
    <w:rsid w:val="007545BE"/>
    <w:rsid w:val="00765B9C"/>
    <w:rsid w:val="0077235F"/>
    <w:rsid w:val="00792294"/>
    <w:rsid w:val="007968B1"/>
    <w:rsid w:val="007A33D1"/>
    <w:rsid w:val="007E5445"/>
    <w:rsid w:val="007F5D0A"/>
    <w:rsid w:val="00813346"/>
    <w:rsid w:val="00821682"/>
    <w:rsid w:val="008259B5"/>
    <w:rsid w:val="00874A70"/>
    <w:rsid w:val="008775BF"/>
    <w:rsid w:val="008778C4"/>
    <w:rsid w:val="00887BD1"/>
    <w:rsid w:val="00887C77"/>
    <w:rsid w:val="008922EB"/>
    <w:rsid w:val="008A486A"/>
    <w:rsid w:val="008A60F6"/>
    <w:rsid w:val="008C1156"/>
    <w:rsid w:val="008C4178"/>
    <w:rsid w:val="008F2CAA"/>
    <w:rsid w:val="00912967"/>
    <w:rsid w:val="00914DBD"/>
    <w:rsid w:val="00923063"/>
    <w:rsid w:val="009230EB"/>
    <w:rsid w:val="0092401C"/>
    <w:rsid w:val="0094551F"/>
    <w:rsid w:val="00971DFF"/>
    <w:rsid w:val="0098425D"/>
    <w:rsid w:val="00992875"/>
    <w:rsid w:val="009C17EB"/>
    <w:rsid w:val="009E38B3"/>
    <w:rsid w:val="009F28BA"/>
    <w:rsid w:val="00A14764"/>
    <w:rsid w:val="00A16654"/>
    <w:rsid w:val="00A2427D"/>
    <w:rsid w:val="00A430B9"/>
    <w:rsid w:val="00A90314"/>
    <w:rsid w:val="00A95C5D"/>
    <w:rsid w:val="00AD7F36"/>
    <w:rsid w:val="00AE65D0"/>
    <w:rsid w:val="00B00BCB"/>
    <w:rsid w:val="00B065C6"/>
    <w:rsid w:val="00B41464"/>
    <w:rsid w:val="00B4285A"/>
    <w:rsid w:val="00B4461E"/>
    <w:rsid w:val="00B56663"/>
    <w:rsid w:val="00B811AA"/>
    <w:rsid w:val="00BA28DB"/>
    <w:rsid w:val="00BA6813"/>
    <w:rsid w:val="00BA7CD6"/>
    <w:rsid w:val="00BD3600"/>
    <w:rsid w:val="00BE7EF3"/>
    <w:rsid w:val="00BF79ED"/>
    <w:rsid w:val="00C00E37"/>
    <w:rsid w:val="00C04BD9"/>
    <w:rsid w:val="00C2013F"/>
    <w:rsid w:val="00C50B71"/>
    <w:rsid w:val="00C71F99"/>
    <w:rsid w:val="00C843C3"/>
    <w:rsid w:val="00CA7041"/>
    <w:rsid w:val="00CC1BDE"/>
    <w:rsid w:val="00CC5D99"/>
    <w:rsid w:val="00CD2970"/>
    <w:rsid w:val="00D11D32"/>
    <w:rsid w:val="00D4589A"/>
    <w:rsid w:val="00D623ED"/>
    <w:rsid w:val="00DB0F96"/>
    <w:rsid w:val="00DB2844"/>
    <w:rsid w:val="00DB5EBC"/>
    <w:rsid w:val="00DC0AA0"/>
    <w:rsid w:val="00DC537A"/>
    <w:rsid w:val="00DE36FB"/>
    <w:rsid w:val="00DF53AA"/>
    <w:rsid w:val="00DF649B"/>
    <w:rsid w:val="00E11CFE"/>
    <w:rsid w:val="00E12A8E"/>
    <w:rsid w:val="00E164E8"/>
    <w:rsid w:val="00E27DE7"/>
    <w:rsid w:val="00E36EAF"/>
    <w:rsid w:val="00E46C21"/>
    <w:rsid w:val="00E50115"/>
    <w:rsid w:val="00E66547"/>
    <w:rsid w:val="00E6706E"/>
    <w:rsid w:val="00EA0455"/>
    <w:rsid w:val="00EC0210"/>
    <w:rsid w:val="00ED4B59"/>
    <w:rsid w:val="00EE7599"/>
    <w:rsid w:val="00EF4809"/>
    <w:rsid w:val="00EF7750"/>
    <w:rsid w:val="00F00D67"/>
    <w:rsid w:val="00F10420"/>
    <w:rsid w:val="00F174B2"/>
    <w:rsid w:val="00F7326C"/>
    <w:rsid w:val="00F815CD"/>
    <w:rsid w:val="00F878AE"/>
    <w:rsid w:val="00F9353F"/>
    <w:rsid w:val="00F93AFB"/>
    <w:rsid w:val="00FA3014"/>
    <w:rsid w:val="00FA3C50"/>
    <w:rsid w:val="00FA61D0"/>
    <w:rsid w:val="00FB77A0"/>
    <w:rsid w:val="00FC1809"/>
    <w:rsid w:val="00FD1ECC"/>
    <w:rsid w:val="00FD7359"/>
    <w:rsid w:val="00FE282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F64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30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F64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49B"/>
  </w:style>
  <w:style w:type="paragraph" w:styleId="Footer">
    <w:name w:val="footer"/>
    <w:basedOn w:val="Normal"/>
    <w:link w:val="FooterChar"/>
    <w:uiPriority w:val="99"/>
    <w:unhideWhenUsed/>
    <w:rsid w:val="00DF64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49B"/>
  </w:style>
  <w:style w:type="character" w:customStyle="1" w:styleId="Heading1Char">
    <w:name w:val="Heading 1 Char"/>
    <w:basedOn w:val="DefaultParagraphFont"/>
    <w:link w:val="Heading1"/>
    <w:uiPriority w:val="9"/>
    <w:rsid w:val="00DF649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F649B"/>
  </w:style>
  <w:style w:type="paragraph" w:styleId="BalloonText">
    <w:name w:val="Balloon Text"/>
    <w:basedOn w:val="Normal"/>
    <w:link w:val="BalloonTextChar"/>
    <w:uiPriority w:val="99"/>
    <w:semiHidden/>
    <w:unhideWhenUsed/>
    <w:rsid w:val="00516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4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hart" Target="charts/chart1.xml" /><Relationship Id="rId6" Type="http://schemas.openxmlformats.org/officeDocument/2006/relationships/chart" Target="charts/chart2.xml" /><Relationship Id="rId7" Type="http://schemas.openxmlformats.org/officeDocument/2006/relationships/chart" Target="charts/chart3.xml" /><Relationship Id="rId8" Type="http://schemas.openxmlformats.org/officeDocument/2006/relationships/header" Target="header1.xml" /><Relationship Id="rId9" Type="http://schemas.openxmlformats.org/officeDocument/2006/relationships/header" Target="header2.xml" /></Relationships>
</file>

<file path=word/charts/_rels/chart1.xml.rels>&#65279;<?xml version="1.0" encoding="utf-8" standalone="yes"?><Relationships xmlns="http://schemas.openxmlformats.org/package/2006/relationships"><Relationship Id="rId1" Type="http://schemas.openxmlformats.org/officeDocument/2006/relationships/oleObject" Target="file:///C:\Users\Walker\Desktop\Josphat-W\July\DUE%209TH%20JUNE%20209%20AT%202PM-2pg\oil.xlsx" TargetMode="External" /></Relationships>
</file>

<file path=word/charts/_rels/chart2.xml.rels>&#65279;<?xml version="1.0" encoding="utf-8" standalone="yes"?><Relationships xmlns="http://schemas.openxmlformats.org/package/2006/relationships"><Relationship Id="rId1" Type="http://schemas.openxmlformats.org/officeDocument/2006/relationships/oleObject" Target="file:///C:\Users\Walker\Desktop\Josphat-W\July\DUE%209TH%20JUNE%20209%20AT%202PM-2pg\oil.xlsx" TargetMode="External" /></Relationships>
</file>

<file path=word/charts/_rels/chart3.xml.rels>&#65279;<?xml version="1.0" encoding="utf-8" standalone="yes"?><Relationships xmlns="http://schemas.openxmlformats.org/package/2006/relationships"><Relationship Id="rId1" Type="http://schemas.openxmlformats.org/officeDocument/2006/relationships/oleObject" Target="file:///C:\Users\Walker\Desktop\Josphat-W\July\DUE%209TH%20JUNE%20209%20AT%202PM-2pg\oil.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Price of oil</c:v>
                </c:pt>
              </c:strCache>
            </c:strRef>
          </c:tx>
          <c:spPr>
            <a:ln w="22225" cap="rnd">
              <a:solidFill>
                <a:schemeClr val="accent1"/>
              </a:solidFill>
              <a:round/>
            </a:ln>
            <a:effectLst/>
          </c:spPr>
          <c:marker>
            <c:symbol val="none"/>
          </c:marker>
          <c:cat>
            <c:numRef>
              <c:f>Sheet1!$A$2:$A$38</c:f>
              <c:numCache>
                <c:formatCode>General</c:formatCode>
                <c:ptCount val="3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numCache>
            </c:numRef>
          </c:cat>
          <c:val>
            <c:numRef>
              <c:f>Sheet1!$B$2:$B$38</c:f>
              <c:numCache>
                <c:formatCode>General</c:formatCode>
                <c:ptCount val="37"/>
                <c:pt idx="0">
                  <c:v>39.5</c:v>
                </c:pt>
                <c:pt idx="1">
                  <c:v>36.67</c:v>
                </c:pt>
                <c:pt idx="2">
                  <c:v>31.99</c:v>
                </c:pt>
                <c:pt idx="3">
                  <c:v>30.68</c:v>
                </c:pt>
                <c:pt idx="4">
                  <c:v>30.37</c:v>
                </c:pt>
                <c:pt idx="5">
                  <c:v>27.88</c:v>
                </c:pt>
                <c:pt idx="6">
                  <c:v>13.94</c:v>
                </c:pt>
                <c:pt idx="7">
                  <c:v>13.39</c:v>
                </c:pt>
                <c:pt idx="8">
                  <c:v>17.25</c:v>
                </c:pt>
                <c:pt idx="9">
                  <c:v>20.59</c:v>
                </c:pt>
                <c:pt idx="10">
                  <c:v>17.79</c:v>
                </c:pt>
                <c:pt idx="11">
                  <c:v>20.74</c:v>
                </c:pt>
                <c:pt idx="12">
                  <c:v>21.19</c:v>
                </c:pt>
                <c:pt idx="13">
                  <c:v>19.77</c:v>
                </c:pt>
                <c:pt idx="14">
                  <c:v>17.78</c:v>
                </c:pt>
                <c:pt idx="15">
                  <c:v>18.37</c:v>
                </c:pt>
                <c:pt idx="16">
                  <c:v>21.73</c:v>
                </c:pt>
                <c:pt idx="17">
                  <c:v>19.9</c:v>
                </c:pt>
                <c:pt idx="18">
                  <c:v>14.64</c:v>
                </c:pt>
                <c:pt idx="19">
                  <c:v>17.56</c:v>
                </c:pt>
                <c:pt idx="20">
                  <c:v>28.81</c:v>
                </c:pt>
                <c:pt idx="21">
                  <c:v>27.85</c:v>
                </c:pt>
                <c:pt idx="22">
                  <c:v>26.26</c:v>
                </c:pt>
                <c:pt idx="23">
                  <c:v>29.08</c:v>
                </c:pt>
                <c:pt idx="24">
                  <c:v>38.35</c:v>
                </c:pt>
                <c:pt idx="25">
                  <c:v>53.05</c:v>
                </c:pt>
                <c:pt idx="26">
                  <c:v>70.47</c:v>
                </c:pt>
                <c:pt idx="27">
                  <c:v>64.98</c:v>
                </c:pt>
                <c:pt idx="28">
                  <c:v>124.06</c:v>
                </c:pt>
                <c:pt idx="29">
                  <c:v>59.58</c:v>
                </c:pt>
                <c:pt idx="30">
                  <c:v>77.86</c:v>
                </c:pt>
                <c:pt idx="31">
                  <c:v>102.51</c:v>
                </c:pt>
                <c:pt idx="32">
                  <c:v>93.38</c:v>
                </c:pt>
                <c:pt idx="33">
                  <c:v>94.17</c:v>
                </c:pt>
                <c:pt idx="34">
                  <c:v>103.14</c:v>
                </c:pt>
                <c:pt idx="35">
                  <c:v>57.75</c:v>
                </c:pt>
                <c:pt idx="36">
                  <c:v>45.51</c:v>
                </c:pt>
              </c:numCache>
            </c:numRef>
          </c:val>
          <c:smooth val="0"/>
        </c:ser>
        <c:dLbls>
          <c:showLegendKey val="0"/>
          <c:showVal val="0"/>
          <c:showCatName val="0"/>
          <c:showSerName val="0"/>
          <c:showPercent val="0"/>
          <c:showBubbleSize val="0"/>
        </c:dLbls>
        <c:dropLines>
          <c:spPr>
            <a:ln w="9525">
              <a:solidFill>
                <a:schemeClr val="dk1">
                  <a:lumMod val="35000"/>
                  <a:lumOff val="65000"/>
                  <a:alpha val="33000"/>
                </a:schemeClr>
              </a:solidFill>
              <a:round/>
            </a:ln>
            <a:effectLst/>
          </c:spPr>
        </c:dropLines>
        <c:marker val="1"/>
        <c:smooth val="0"/>
        <c:axId val="74592256"/>
        <c:axId val="74594176"/>
      </c:lineChart>
      <c:catAx>
        <c:axId val="74592256"/>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en-US"/>
                  <a:t>YEAR</a:t>
                </a:r>
              </a:p>
            </c:rich>
          </c:tx>
          <c:layout/>
          <c:overlay val="0"/>
          <c:spPr>
            <a:noFill/>
            <a:ln>
              <a:noFill/>
            </a:ln>
            <a:effectLst/>
          </c:spPr>
        </c:title>
        <c:numFmt formatCode="General" sourceLinked="1"/>
        <c:majorTickMark val="none"/>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74594176"/>
        <c:crosses val="autoZero"/>
        <c:auto val="1"/>
        <c:lblAlgn val="ctr"/>
        <c:lblOffset val="100"/>
        <c:noMultiLvlLbl val="0"/>
      </c:catAx>
      <c:valAx>
        <c:axId val="74594176"/>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en-US"/>
                  <a:t>U.S. Dollars per Barrell</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74592256"/>
        <c:crosses val="autoZero"/>
        <c:crossBetween val="between"/>
      </c:valAx>
      <c:spPr>
        <a:gradFill rotWithShape="1">
          <a:gsLst>
            <a:gs pos="0">
              <a:schemeClr val="lt1"/>
            </a:gs>
            <a:gs pos="100000">
              <a:schemeClr val="lt1">
                <a:lumMod val="95000"/>
              </a:schemeClr>
            </a:gs>
          </a:gsLst>
          <a:lin ang="5400000" scaled="0"/>
        </a:gradFill>
        <a:ln>
          <a:noFill/>
        </a:ln>
        <a:effectLst/>
      </c:spPr>
    </c:plotArea>
    <c:plotVisOnly val="1"/>
    <c:dispBlanksAs val="gap"/>
    <c:showDLblsOverMax val="0"/>
  </c:chart>
  <c:spPr>
    <a:solidFill>
      <a:schemeClr val="lt1"/>
    </a:solidFill>
    <a:ln w="9525">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2691666666666666"/>
          <c:y val="0.027777777777777776"/>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strRef>
              <c:f>Sheet2!$B$1</c:f>
              <c:strCache>
                <c:ptCount val="1"/>
                <c:pt idx="0">
                  <c:v>Real GDP percentage change (%)</c:v>
                </c:pt>
              </c:strCache>
            </c:strRef>
          </c:tx>
          <c:spPr>
            <a:ln w="22225" cap="rnd">
              <a:solidFill>
                <a:schemeClr val="accent1"/>
              </a:solidFill>
              <a:round/>
            </a:ln>
            <a:effectLst/>
          </c:spPr>
          <c:marker>
            <c:symbol val="none"/>
          </c:marker>
          <c:cat>
            <c:numRef>
              <c:f>Sheet2!$A$2:$A$38</c:f>
              <c:numCache>
                <c:formatCode>General</c:formatCode>
                <c:ptCount val="3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numCache>
            </c:numRef>
          </c:cat>
          <c:val>
            <c:numRef>
              <c:f>Sheet2!$B$2:$B$38</c:f>
              <c:numCache>
                <c:formatCode>General</c:formatCode>
                <c:ptCount val="37"/>
                <c:pt idx="0">
                  <c:v>-8</c:v>
                </c:pt>
                <c:pt idx="1">
                  <c:v>-2.9</c:v>
                </c:pt>
                <c:pt idx="2">
                  <c:v>1.8</c:v>
                </c:pt>
                <c:pt idx="3">
                  <c:v>9.4</c:v>
                </c:pt>
                <c:pt idx="4">
                  <c:v>7.4</c:v>
                </c:pt>
                <c:pt idx="5">
                  <c:v>3.6</c:v>
                </c:pt>
                <c:pt idx="6">
                  <c:v>1.8</c:v>
                </c:pt>
                <c:pt idx="7">
                  <c:v>4.4</c:v>
                </c:pt>
                <c:pt idx="8">
                  <c:v>5.4</c:v>
                </c:pt>
                <c:pt idx="9">
                  <c:v>3.1</c:v>
                </c:pt>
                <c:pt idx="10">
                  <c:v>1.5</c:v>
                </c:pt>
                <c:pt idx="11">
                  <c:v>3.2</c:v>
                </c:pt>
                <c:pt idx="12">
                  <c:v>4.4</c:v>
                </c:pt>
                <c:pt idx="13">
                  <c:v>2.3</c:v>
                </c:pt>
                <c:pt idx="14">
                  <c:v>5.5</c:v>
                </c:pt>
                <c:pt idx="15">
                  <c:v>1.2</c:v>
                </c:pt>
                <c:pt idx="16">
                  <c:v>6.8</c:v>
                </c:pt>
                <c:pt idx="17">
                  <c:v>6.8</c:v>
                </c:pt>
                <c:pt idx="18">
                  <c:v>3.8</c:v>
                </c:pt>
                <c:pt idx="19">
                  <c:v>3.1</c:v>
                </c:pt>
                <c:pt idx="20">
                  <c:v>7.5</c:v>
                </c:pt>
                <c:pt idx="21">
                  <c:v>2.4</c:v>
                </c:pt>
                <c:pt idx="22">
                  <c:v>2.4</c:v>
                </c:pt>
                <c:pt idx="23">
                  <c:v>3.5</c:v>
                </c:pt>
                <c:pt idx="24">
                  <c:v>3.1</c:v>
                </c:pt>
                <c:pt idx="25">
                  <c:v>1.9</c:v>
                </c:pt>
                <c:pt idx="26">
                  <c:v>0.9</c:v>
                </c:pt>
                <c:pt idx="27">
                  <c:v>2.8</c:v>
                </c:pt>
                <c:pt idx="28">
                  <c:v>2.1</c:v>
                </c:pt>
                <c:pt idx="29">
                  <c:v>-0.6</c:v>
                </c:pt>
                <c:pt idx="30">
                  <c:v>3.7</c:v>
                </c:pt>
                <c:pt idx="31">
                  <c:v>2.9</c:v>
                </c:pt>
                <c:pt idx="32">
                  <c:v>1.7</c:v>
                </c:pt>
                <c:pt idx="33">
                  <c:v>0.5</c:v>
                </c:pt>
                <c:pt idx="34">
                  <c:v>5.1</c:v>
                </c:pt>
                <c:pt idx="35">
                  <c:v>3.3</c:v>
                </c:pt>
                <c:pt idx="36">
                  <c:v>2.3</c:v>
                </c:pt>
              </c:numCache>
            </c:numRef>
          </c:val>
          <c:smooth val="0"/>
        </c:ser>
        <c:dLbls>
          <c:showLegendKey val="0"/>
          <c:showVal val="0"/>
          <c:showCatName val="0"/>
          <c:showSerName val="0"/>
          <c:showPercent val="0"/>
          <c:showBubbleSize val="0"/>
        </c:dLbls>
        <c:dropLines>
          <c:spPr>
            <a:ln w="9525">
              <a:solidFill>
                <a:schemeClr val="dk1">
                  <a:lumMod val="35000"/>
                  <a:lumOff val="65000"/>
                  <a:alpha val="33000"/>
                </a:schemeClr>
              </a:solidFill>
              <a:round/>
            </a:ln>
            <a:effectLst/>
          </c:spPr>
        </c:dropLines>
        <c:marker val="1"/>
        <c:smooth val="0"/>
        <c:axId val="90315008"/>
        <c:axId val="90329472"/>
      </c:lineChart>
      <c:catAx>
        <c:axId val="90315008"/>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en-US"/>
                  <a:t>Year</a:t>
                </a:r>
              </a:p>
            </c:rich>
          </c:tx>
          <c:layout/>
          <c:overlay val="0"/>
          <c:spPr>
            <a:noFill/>
            <a:ln>
              <a:noFill/>
            </a:ln>
            <a:effectLst/>
          </c:spPr>
        </c:title>
        <c:numFmt formatCode="General" sourceLinked="1"/>
        <c:majorTickMark val="none"/>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90329472"/>
        <c:crosses val="autoZero"/>
        <c:auto val="1"/>
        <c:lblAlgn val="ctr"/>
        <c:lblOffset val="100"/>
        <c:noMultiLvlLbl val="0"/>
      </c:catAx>
      <c:valAx>
        <c:axId val="90329472"/>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en-US" sz="900" b="0" i="0" u="none" strike="noStrike" cap="all" baseline="0">
                    <a:effectLst/>
                  </a:rPr>
                  <a:t>Percent Change from Preceding Period</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90315008"/>
        <c:crosses val="autoZero"/>
        <c:crossBetween val="between"/>
      </c:valAx>
      <c:spPr>
        <a:gradFill rotWithShape="1">
          <a:gsLst>
            <a:gs pos="0">
              <a:schemeClr val="lt1"/>
            </a:gs>
            <a:gs pos="100000">
              <a:schemeClr val="lt1">
                <a:lumMod val="95000"/>
              </a:schemeClr>
            </a:gs>
          </a:gsLst>
          <a:lin ang="5400000" scaled="0"/>
        </a:gradFill>
        <a:ln>
          <a:noFill/>
        </a:ln>
        <a:effectLst/>
      </c:spPr>
    </c:plotArea>
    <c:plotVisOnly val="1"/>
    <c:dispBlanksAs val="gap"/>
    <c:showDLblsOverMax val="0"/>
  </c:chart>
  <c:spPr>
    <a:solidFill>
      <a:schemeClr val="lt1"/>
    </a:solidFill>
    <a:ln w="9525">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Oil Prices &amp;</a:t>
            </a:r>
            <a:r>
              <a:rPr lang="en-US" baseline="0"/>
              <a:t> GDP % change</a:t>
            </a:r>
            <a:endParaRPr lang="en-US"/>
          </a:p>
        </c:rich>
      </c:tx>
      <c:layout/>
      <c:overlay val="0"/>
      <c:spPr>
        <a:noFill/>
        <a:ln>
          <a:noFill/>
        </a:ln>
        <a:effectLst/>
      </c:spPr>
    </c:title>
    <c:autoTitleDeleted val="0"/>
    <c:plotArea>
      <c:layout/>
      <c:lineChart>
        <c:grouping val="standard"/>
        <c:varyColors val="0"/>
        <c:ser>
          <c:idx val="0"/>
          <c:order val="0"/>
          <c:tx>
            <c:strRef>
              <c:f>Sheet3!$B$1</c:f>
              <c:strCache>
                <c:ptCount val="1"/>
                <c:pt idx="0">
                  <c:v>Price of oil</c:v>
                </c:pt>
              </c:strCache>
            </c:strRef>
          </c:tx>
          <c:spPr>
            <a:ln w="28575" cap="rnd">
              <a:solidFill>
                <a:schemeClr val="accent1"/>
              </a:solidFill>
              <a:round/>
            </a:ln>
            <a:effectLst/>
          </c:spPr>
          <c:marker>
            <c:symbol val="none"/>
          </c:marker>
          <c:cat>
            <c:numRef>
              <c:f>Sheet3!$A$2:$A$38</c:f>
              <c:numCache>
                <c:formatCode>General</c:formatCode>
                <c:ptCount val="3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numCache>
            </c:numRef>
          </c:cat>
          <c:val>
            <c:numRef>
              <c:f>Sheet3!$B$2:$B$38</c:f>
              <c:numCache>
                <c:formatCode>General</c:formatCode>
                <c:ptCount val="37"/>
                <c:pt idx="0">
                  <c:v>39.5</c:v>
                </c:pt>
                <c:pt idx="1">
                  <c:v>36.67</c:v>
                </c:pt>
                <c:pt idx="2">
                  <c:v>31.99</c:v>
                </c:pt>
                <c:pt idx="3">
                  <c:v>30.68</c:v>
                </c:pt>
                <c:pt idx="4">
                  <c:v>30.37</c:v>
                </c:pt>
                <c:pt idx="5">
                  <c:v>27.88</c:v>
                </c:pt>
                <c:pt idx="6">
                  <c:v>13.94</c:v>
                </c:pt>
                <c:pt idx="7">
                  <c:v>13.39</c:v>
                </c:pt>
                <c:pt idx="8">
                  <c:v>17.25</c:v>
                </c:pt>
                <c:pt idx="9">
                  <c:v>20.59</c:v>
                </c:pt>
                <c:pt idx="10">
                  <c:v>17.79</c:v>
                </c:pt>
                <c:pt idx="11">
                  <c:v>20.74</c:v>
                </c:pt>
                <c:pt idx="12">
                  <c:v>21.19</c:v>
                </c:pt>
                <c:pt idx="13">
                  <c:v>19.77</c:v>
                </c:pt>
                <c:pt idx="14">
                  <c:v>17.78</c:v>
                </c:pt>
                <c:pt idx="15">
                  <c:v>18.37</c:v>
                </c:pt>
                <c:pt idx="16">
                  <c:v>21.73</c:v>
                </c:pt>
                <c:pt idx="17">
                  <c:v>19.9</c:v>
                </c:pt>
                <c:pt idx="18">
                  <c:v>14.64</c:v>
                </c:pt>
                <c:pt idx="19">
                  <c:v>17.56</c:v>
                </c:pt>
                <c:pt idx="20">
                  <c:v>28.81</c:v>
                </c:pt>
                <c:pt idx="21">
                  <c:v>27.85</c:v>
                </c:pt>
                <c:pt idx="22">
                  <c:v>26.26</c:v>
                </c:pt>
                <c:pt idx="23">
                  <c:v>29.08</c:v>
                </c:pt>
                <c:pt idx="24">
                  <c:v>38.35</c:v>
                </c:pt>
                <c:pt idx="25">
                  <c:v>53.05</c:v>
                </c:pt>
                <c:pt idx="26">
                  <c:v>70.47</c:v>
                </c:pt>
                <c:pt idx="27">
                  <c:v>64.98</c:v>
                </c:pt>
                <c:pt idx="28">
                  <c:v>124.06</c:v>
                </c:pt>
                <c:pt idx="29">
                  <c:v>59.58</c:v>
                </c:pt>
                <c:pt idx="30">
                  <c:v>77.86</c:v>
                </c:pt>
                <c:pt idx="31">
                  <c:v>102.51</c:v>
                </c:pt>
                <c:pt idx="32">
                  <c:v>93.38</c:v>
                </c:pt>
                <c:pt idx="33">
                  <c:v>94.17</c:v>
                </c:pt>
                <c:pt idx="34">
                  <c:v>103.14</c:v>
                </c:pt>
                <c:pt idx="35">
                  <c:v>57.75</c:v>
                </c:pt>
                <c:pt idx="36">
                  <c:v>45.51</c:v>
                </c:pt>
              </c:numCache>
            </c:numRef>
          </c:val>
          <c:smooth val="0"/>
        </c:ser>
        <c:ser>
          <c:idx val="1"/>
          <c:order val="1"/>
          <c:tx>
            <c:strRef>
              <c:f>Sheet3!$C$1</c:f>
              <c:strCache>
                <c:ptCount val="1"/>
                <c:pt idx="0">
                  <c:v>Real GDP percentage change (%)</c:v>
                </c:pt>
              </c:strCache>
            </c:strRef>
          </c:tx>
          <c:spPr>
            <a:ln w="28575" cap="rnd">
              <a:solidFill>
                <a:schemeClr val="accent2"/>
              </a:solidFill>
              <a:round/>
            </a:ln>
            <a:effectLst/>
          </c:spPr>
          <c:marker>
            <c:symbol val="none"/>
          </c:marker>
          <c:cat>
            <c:numRef>
              <c:f>Sheet3!$A$2:$A$38</c:f>
              <c:numCache>
                <c:formatCode>General</c:formatCode>
                <c:ptCount val="3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numCache>
            </c:numRef>
          </c:cat>
          <c:val>
            <c:numRef>
              <c:f>Sheet3!$C$2:$C$38</c:f>
              <c:numCache>
                <c:formatCode>General</c:formatCode>
                <c:ptCount val="37"/>
                <c:pt idx="0">
                  <c:v>-8</c:v>
                </c:pt>
                <c:pt idx="1">
                  <c:v>-2.9</c:v>
                </c:pt>
                <c:pt idx="2">
                  <c:v>1.8</c:v>
                </c:pt>
                <c:pt idx="3">
                  <c:v>9.4</c:v>
                </c:pt>
                <c:pt idx="4">
                  <c:v>7.4</c:v>
                </c:pt>
                <c:pt idx="5">
                  <c:v>3.6</c:v>
                </c:pt>
                <c:pt idx="6">
                  <c:v>1.8</c:v>
                </c:pt>
                <c:pt idx="7">
                  <c:v>4.4</c:v>
                </c:pt>
                <c:pt idx="8">
                  <c:v>5.4</c:v>
                </c:pt>
                <c:pt idx="9">
                  <c:v>3.1</c:v>
                </c:pt>
                <c:pt idx="10">
                  <c:v>1.5</c:v>
                </c:pt>
                <c:pt idx="11">
                  <c:v>3.2</c:v>
                </c:pt>
                <c:pt idx="12">
                  <c:v>4.4</c:v>
                </c:pt>
                <c:pt idx="13">
                  <c:v>2.3</c:v>
                </c:pt>
                <c:pt idx="14">
                  <c:v>5.5</c:v>
                </c:pt>
                <c:pt idx="15">
                  <c:v>1.2</c:v>
                </c:pt>
                <c:pt idx="16">
                  <c:v>6.8</c:v>
                </c:pt>
                <c:pt idx="17">
                  <c:v>6.8</c:v>
                </c:pt>
                <c:pt idx="18">
                  <c:v>3.8</c:v>
                </c:pt>
                <c:pt idx="19">
                  <c:v>3.1</c:v>
                </c:pt>
                <c:pt idx="20">
                  <c:v>7.5</c:v>
                </c:pt>
                <c:pt idx="21">
                  <c:v>2.4</c:v>
                </c:pt>
                <c:pt idx="22">
                  <c:v>2.4</c:v>
                </c:pt>
                <c:pt idx="23">
                  <c:v>3.5</c:v>
                </c:pt>
                <c:pt idx="24">
                  <c:v>3.1</c:v>
                </c:pt>
                <c:pt idx="25">
                  <c:v>1.9</c:v>
                </c:pt>
                <c:pt idx="26">
                  <c:v>0.9</c:v>
                </c:pt>
                <c:pt idx="27">
                  <c:v>2.8</c:v>
                </c:pt>
                <c:pt idx="28">
                  <c:v>2.1</c:v>
                </c:pt>
                <c:pt idx="29">
                  <c:v>-0.6</c:v>
                </c:pt>
                <c:pt idx="30">
                  <c:v>3.7</c:v>
                </c:pt>
                <c:pt idx="31">
                  <c:v>2.9</c:v>
                </c:pt>
                <c:pt idx="32">
                  <c:v>1.7</c:v>
                </c:pt>
                <c:pt idx="33">
                  <c:v>0.5</c:v>
                </c:pt>
                <c:pt idx="34">
                  <c:v>5.1</c:v>
                </c:pt>
                <c:pt idx="35">
                  <c:v>3.3</c:v>
                </c:pt>
                <c:pt idx="36">
                  <c:v>2.3</c:v>
                </c:pt>
              </c:numCache>
            </c:numRef>
          </c:val>
          <c:smooth val="0"/>
        </c:ser>
        <c:dLbls>
          <c:showLegendKey val="0"/>
          <c:showVal val="0"/>
          <c:showCatName val="0"/>
          <c:showSerName val="0"/>
          <c:showPercent val="0"/>
          <c:showBubbleSize val="0"/>
        </c:dLbls>
        <c:marker val="1"/>
        <c:smooth val="0"/>
        <c:axId val="94975104"/>
        <c:axId val="94976640"/>
      </c:lineChart>
      <c:catAx>
        <c:axId val="9497510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976640"/>
        <c:crosses val="autoZero"/>
        <c:auto val="1"/>
        <c:lblAlgn val="ctr"/>
        <c:lblOffset val="100"/>
        <c:noMultiLvlLbl val="0"/>
      </c:catAx>
      <c:valAx>
        <c:axId val="9497664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9751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Tra171</b:Tag>
    <b:SourceType>JournalArticle</b:SourceType>
    <b:Guid>{B2E086B3-944D-42A8-B0B9-E5740D5F1A19}</b:Guid>
    <b:Title>The Impact of Oil Price on the Growth, Inflation, Unemployment and Budget Deficit of Vietnam</b:Title>
    <b:Year>2017</b:Year>
    <b:Author>
      <b:Author>
        <b:Corporate>Trang, N.T.N., Tho, T.N. &amp; Hong, D.T.T.</b:Corporate>
      </b:Author>
    </b:Author>
    <b:JournalName>International Journal of Energy Economics and Policy</b:JournalName>
    <b:Pages>42-49</b:Pages>
    <b:Volume>7</b:Volume>
    <b:Issue>3</b:Issue>
    <b:RefOrder>1</b:RefOrder>
  </b:Source>
  <b:Source>
    <b:Tag>Ell17</b:Tag>
    <b:SourceType>JournalArticle</b:SourceType>
    <b:Guid>{D2DF7A67-85D9-4584-97D9-46BB9C5C0C55}</b:Guid>
    <b:Author>
      <b:Author>
        <b:Corporate>Ellwanger, R., Sawatzky, B. &amp; Zmitrowicz, K.</b:Corporate>
      </b:Author>
    </b:Author>
    <b:Title>Factors Behind the 2014 Oil Price Decline</b:Title>
    <b:JournalName>Bank of Canada Review</b:JournalName>
    <b:Year>2017</b:Year>
    <b:Pages>1-13</b:Pages>
    <b:URL>https://www.bankofcanada.ca/wp-content/uploads/2017/11/boc-review-autumn2017-ellwanger.pdf</b:URL>
    <b:RefOrder>2</b:RefOrder>
  </b:Source>
  <b:Source>
    <b:Tag>Gya17</b:Tag>
    <b:SourceType>JournalArticle</b:SourceType>
    <b:Guid>{7C9F9D8A-CFD0-4F15-96D0-3AA25A29C5FC}</b:Guid>
    <b:Author>
      <b:Author>
        <b:Corporate>Gyagri, M., Marfo, S.A. &amp; Amarfio, E.M.</b:Corporate>
      </b:Author>
    </b:Author>
    <b:Title>Determinants of Global Pricing of Crude Oil-A Theoretical Review</b:Title>
    <b:JournalName>International Journal of Petroleum and Petrochemical Engineering</b:JournalName>
    <b:Year>2017</b:Year>
    <b:Pages>7-15</b:Pages>
    <b:Volume>3</b:Volume>
    <b:Issue>3</b:Issue>
    <b:RefOrder>3</b:RefOrder>
  </b:Source>
</b:Sources>
</file>

<file path=customXml/itemProps1.xml><?xml version="1.0" encoding="utf-8"?>
<ds:datastoreItem xmlns:ds="http://schemas.openxmlformats.org/officeDocument/2006/customXml" ds:itemID="{DF760874-0E45-49F6-AC1F-CB8B6BF21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7</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198</cp:revision>
  <dcterms:created xsi:type="dcterms:W3CDTF">2019-07-09T10:10:00Z</dcterms:created>
  <dcterms:modified xsi:type="dcterms:W3CDTF">2019-07-09T13:57:00Z</dcterms:modified>
</cp:coreProperties>
</file>